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Bóg Ganeśa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twórca z Orisy</w:t>
      </w:r>
    </w:p>
    <w:p w:rsidR="00000000" w:rsidDel="00000000" w:rsidP="00000000" w:rsidRDefault="00000000" w:rsidRPr="00000000" w14:paraId="00000003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3"/>
          <w:szCs w:val="23"/>
          <w:rtl w:val="0"/>
        </w:rPr>
        <w:t xml:space="preserve">Indie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druga połowa dwudziestego wieku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wysokość: czterdzieści pięć i pół centymetra, szerokość: pięćdziesiąt cztery centymetry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farba gwaszowa na tkaninie z włókien kokosowych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znajduje się w zbiorach Muzeum Azji i Pacyfiku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Obraz jest poziomym prostokątem. Nie jest naciągnięty na blejtram – tkanina, na której został namalowany, jest z obu stron zagruntowana co nadaje jej pewnej sztywności. Tkanina nie jest oprawiona, a więc jej brzegi nie są idealnie równe.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Obraz to  kompozycja złożona z wielu małych obrazów i rysunków. W pierwszej chwili zauważalna jest przede wszystkim mnogość drobnych elementów – kształtów, kolorów i detali. Tło pomiędzy poszczególnymi elementami kompozycji wypełniają drobne rysunki z motywem roślinnym lub kropkowym.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Na środku obrazu znajduje się pole w kształcie zwieńczonej łagodnym łukiem arkady. Jest ona niewielka w stosunku do całości obrazu. Arkadę wypełnia ciemne tło. W środku, na podstawie w kształcie kwiatu lotosu, tańczy Ganeśa – jeden z bogów hinduizmu, przedstawiany jako czteroręki mężczyzna z głową słonia. Jest ubrany w żółto-niebieskie dhoti [czyt. dhoti], czyli tkaninę upiętą tak, aby utworzyła luźne spodnie sięgające kolan. Na ramiona ma zarzucony długi zielony szal, a na głowie ma złotą koronę. Tańczy na ugiętych nogach. Dwie ręce unosi na wysokość ramion, pozostałe dwie trzyma na wysokości bioder. Przy lewej stopie Ganeśi przycupnął jego wierzchowiec – szczur.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Mała arkada, w której tańczy Ganeśa wpisana jest w większą arkadę. Pas przestrzeni pomiędzy nimi wypełnia czarne tło i umieszczone na nim dwanaście symetrycznie ułożonych okręgów. W każdym z nich, na różowym tle, umieszczone jest inne przedstawienie tańczącego Ganeśi.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Ta arkada wpisana jest w kolejną, jeszcze większą. Tym razem pole pomiędzy arkadami wypełnia dwanaście ramek w kształcie kwiatu lotosu. W każdej z ramek znalazła się inna scena ilustrująca historię narodzin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Ganeśi. Sceny są pełne detali i drobnych elementów. Większość z nich rozgrywa się na jasnożółtym tle, z którym wyraźnie kontrastuje niebieskie ciało Śiwy. 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Tę arkadę otacza kwadrat, którego brzeg jest wąską, ciemnozieloną bordiurą ozdobioną białym motywem wici roślinnej.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Kwadrat z roślinnej bordiury przylega do podstawy, boków arkady i na górze dotyka szczytu łuku. W trójkątnych przestrzeniach przy bokach łuku namalowane są dwa niebieskie demony. Widoczne są tylko ich ramiona, oparte o łuk, oraz głowy. Uwagę przyciągają duże, idealnie okrągłe oczy demonów oraz szerokie usta z szeregiem białych zębów i długimi językami, które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zwisają na brodę.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Kwadrat, w którym umieszczone są rysunki demonów i w który wpisane są wszystkie arkady, otoczony jest szeroką bordiurą, na której znajduje się osiemnaście owalnych ozdobnych ramek. Te ramki są znacznie większe, niż te umieszczone w arkadach. W nich namalowane są kolejne sceny opowiadające początki miłosnej historii rodziców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Ganeśi - bogini Parwati i boga Śiwy.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Ta część obrazu otoczona jest dwoma rzędami wąskiej, dekoracyjnej bordiury. Wewnętrzna jest pokryta żółto-brązowym geometrycznym wzorem. Zewnętrzna jest odrobinę grubsza. Jej ciemne tło wypełniają wielokolorowe kropki układające się w kształty przypominające kroplę.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  <w:tab/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Pr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0A3D42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0A3D42"/>
    <w:pPr>
      <w:spacing w:line="240" w:lineRule="auto"/>
    </w:pPr>
    <w:rPr>
      <w:rFonts w:ascii="Segoe UI" w:cs="Segoe UI" w:hAnsi="Segoe UI"/>
      <w:sz w:val="18"/>
      <w:szCs w:val="1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I8zIw2afsj4Gd2sQzMwYuuG1Q==">AMUW2mU0lXU8oZGT0M+jKQdXqwQcAZ5FH7V6EWwhVugYnGWanP0PLzXm3GMCatrHIkjdzXoZ8sCCzUwFJrsV1c1K4uwj7nq7NgxwBtu5Zqeq38F7iDyZQgjbJzC7C8Qh3nPGr31kqKuw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