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Jesień w górach diamentowych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Kim Cheol [czytaj </w:t>
      </w:r>
      <w:r w:rsidDel="00000000" w:rsidR="00000000" w:rsidRPr="00000000">
        <w:rPr>
          <w:sz w:val="23"/>
          <w:szCs w:val="23"/>
          <w:shd w:fill="f8f8f8" w:val="clear"/>
          <w:rtl w:val="0"/>
        </w:rPr>
        <w:t xml:space="preserve">kim czol]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Korea Północna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tysiąc dziewięćset dziewięćdziesiąty czwarty 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wysokość: dziewięćdziesiąt cztery centymetry, szerokość: sześćdziesiąt centymetrów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tusz i akwarela na papierze japońskim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znajduje się w zbiorach Muzeum Azji i Pacyfiku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Obraz jest pionowym prostokątem. Przedstawia górski krajobraz z wodospadem.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Szczyt wodospadu znajduje się w lewym górnym rogu obrazu. Jasna, spieniona woda spada rozbijając się o progi ciemnych, szarych skał. Wodospad rozszerza się ku dołowi i dzieli na mniejsze strumienie w miejscach, w których skały stanowią naturalną zaporę. Wyraźnie odznaczają się dwa ciemniejsze progi skalne biegnące ukośnie w poprzek obrazu.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Wodospad wpada do jasnego, zielonkawego jeziora umieszczonego w prawym dolnym rogu kompozycji. W kilku miejscach z jeziora wystają pojedyncze, ciemne głazy.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Z białą wodą i szarymi skałami kontrastują liście górskich krzewów i drzew. Roślinność namalowana jest schematycznie. Zarośla wypełniają przede wszystkim prawy górny róg oraz boki obrazu. Liście malowane są w ciepłych barwach – dominują kolory brązowy, pomarańczowy i żółty, ale jest też sporo zieleni i są pojedyncze czerwone krzewy. Dobór kolorów sugeruje, że obraz przedstawia wczesną jesień, kiedy część liści zdążyła już zżółknąć, jednak inne pozostają jeszcze zielone.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W lewym, dolnym rogu znajduje się podpis artysty wykonany czarnym tuszem. Z prawej strony podpisu znajduje się czerwony, kwadratowy stempel. To odcisk pieczęci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i w:val="1"/>
          <w:rtl w:val="0"/>
        </w:rPr>
        <w:t xml:space="preserve">injang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sz w:val="23"/>
          <w:szCs w:val="23"/>
          <w:shd w:fill="f8f8f8" w:val="clear"/>
          <w:rtl w:val="0"/>
        </w:rPr>
        <w:t xml:space="preserve">czytaj indźang]</w:t>
      </w:r>
      <w:r w:rsidDel="00000000" w:rsidR="00000000" w:rsidRPr="00000000">
        <w:rPr>
          <w:rtl w:val="0"/>
        </w:rPr>
        <w:t xml:space="preserve">. Podobne pieczęcie są używane w krajach Azji Wschodniej jako odpowiednik lub uzupełnienie odręcznego podpisu.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Pr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C52626"/>
    <w:rPr>
      <w:rFonts w:ascii="Segoe UI" w:cs="Segoe UI" w:hAnsi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C52626"/>
    <w:rPr>
      <w:b w:val="1"/>
      <w:bCs w:val="1"/>
      <w:sz w:val="20"/>
      <w:szCs w:val="20"/>
    </w:rPr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C52626"/>
    <w:pPr>
      <w:spacing w:line="240" w:lineRule="auto"/>
    </w:pPr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unhideWhenUsed w:val="1"/>
    <w:qFormat w:val="1"/>
    <w:rsid w:val="00C52626"/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arfSUTjpcWdaEtA2fe+pWYwyA==">AMUW2mVNTx7uQ8NG+6Sgqf3ZO282hbfv2uaSXnMEcoGLdN7qoQwESR5oraNk+tJHyzPSKKpCGAIkTReIrJtcLnJ1tAZHyPr+n3QadwjlqTNoVQh+eJfMUfkYgEKUAh2BrfuTrQZPNh6H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2021-08-12T16:31:00Z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