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Maczuga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twórca z Polinezji </w:t>
        <w:br w:type="textWrapping"/>
        <w:t xml:space="preserve">Oceania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druga</w:t>
      </w: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 połowa dziewiętnastego wieku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długość: siedmenaście </w:t>
      </w:r>
      <w:r w:rsidDel="00000000" w:rsidR="00000000" w:rsidRPr="00000000">
        <w:rPr>
          <w:b w:val="1"/>
          <w:rtl w:val="0"/>
        </w:rPr>
        <w:t xml:space="preserve">centymetrów</w:t>
      </w: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 , średnica: pięć </w:t>
      </w:r>
      <w:r w:rsidDel="00000000" w:rsidR="00000000" w:rsidRPr="00000000">
        <w:rPr>
          <w:b w:val="1"/>
          <w:rtl w:val="0"/>
        </w:rPr>
        <w:t xml:space="preserve">centymetrów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drewno ciosane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1d1c1d"/>
          <w:sz w:val="23"/>
          <w:szCs w:val="23"/>
        </w:rPr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znajduje się w zbiorach Muzeum Azji i Pacyfiku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Maczuga została wykonana z jednego kawałka ciemnobrązowego drewna. Ma kształt lekko wrzecionowatej pałki. Jeden z jej końców zwęża się dość gwałtownie, tworząc niemal szpic. jest to głownia maczugi. Drugi jej koniec – rękojeść – jest węższy i łagodniej zakończony, aby umożliwić użytkownikowi pewny chwyt.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Wzdłuż maczugi biegną równoległe, płytkie żłobienia. Zostały wykonane ręcznie, więc nie są idealnie proste. Są one jedyną ozdobą narzędzia.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Przed II wojną światową maczuga była częścią zbiorów jednego z wrocławskich muzeów. Po włączeniu Dolnego Śląska do Polski, obiekty pozostawione w dolnośląskich muzeach przeniesiono do Centralnej Składnicy Muzealnej w Kozłówce, skąd po latach maczuga trafiła do Muzeum Azji i Pacyfiku. 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Pr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053B5B"/>
    <w:rPr>
      <w:rFonts w:ascii="Segoe UI" w:cs="Segoe UI" w:hAnsi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053B5B"/>
    <w:rPr>
      <w:b w:val="1"/>
      <w:bCs w:val="1"/>
      <w:sz w:val="20"/>
      <w:szCs w:val="20"/>
    </w:rPr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053B5B"/>
    <w:pPr>
      <w:spacing w:line="240" w:lineRule="auto"/>
    </w:pPr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unhideWhenUsed w:val="1"/>
    <w:qFormat w:val="1"/>
    <w:rsid w:val="00053B5B"/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7JqpCMz5i0a3poDWVKI/ziegZw==">AMUW2mVuiygEpzgZszVHFnQeCBWYDFraCJ0M/7KlHTCQ9HDbPDsfuKFmLpxPi8qmzwwCSjFPKPrJLvVgBqz43at/oODmfsRWFoxbLi7sl+Ac1aigwAclXCLCN5AWCHd3T1D0Zgjbe5b5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2021-08-12T16:31:00Z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