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Bogini Gadźalakszmi</w:t>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b w:val="1"/>
          <w:rtl w:val="0"/>
        </w:rPr>
        <w:t xml:space="preserve">Wykonawca: S. Murugakani, wydawca: J.B. Khanna and Co. </w:t>
      </w:r>
    </w:p>
    <w:p w:rsidR="00000000" w:rsidDel="00000000" w:rsidP="00000000" w:rsidRDefault="00000000" w:rsidRPr="00000000" w14:paraId="00000003">
      <w:pPr>
        <w:jc w:val="both"/>
        <w:rPr>
          <w:b w:val="1"/>
        </w:rPr>
      </w:pPr>
      <w:r w:rsidDel="00000000" w:rsidR="00000000" w:rsidRPr="00000000">
        <w:rPr>
          <w:b w:val="1"/>
          <w:rtl w:val="0"/>
        </w:rPr>
        <w:t xml:space="preserve">Ćennaj, Tamilnadu, Indie</w:t>
      </w:r>
    </w:p>
    <w:p w:rsidR="00000000" w:rsidDel="00000000" w:rsidP="00000000" w:rsidRDefault="00000000" w:rsidRPr="00000000" w14:paraId="00000004">
      <w:pPr>
        <w:jc w:val="both"/>
        <w:rPr>
          <w:b w:val="1"/>
        </w:rPr>
      </w:pPr>
      <w:r w:rsidDel="00000000" w:rsidR="00000000" w:rsidRPr="00000000">
        <w:rPr>
          <w:b w:val="1"/>
          <w:rtl w:val="0"/>
        </w:rPr>
        <w:t xml:space="preserve">trzecia ćwierć dwudziestego wieku</w:t>
      </w:r>
    </w:p>
    <w:p w:rsidR="00000000" w:rsidDel="00000000" w:rsidP="00000000" w:rsidRDefault="00000000" w:rsidRPr="00000000" w14:paraId="00000005">
      <w:pPr>
        <w:rPr/>
      </w:pPr>
      <w:bookmarkStart w:colFirst="0" w:colLast="0" w:name="_heading=h.gjdgxs" w:id="0"/>
      <w:bookmarkEnd w:id="0"/>
      <w:r w:rsidDel="00000000" w:rsidR="00000000" w:rsidRPr="00000000">
        <w:rPr>
          <w:b w:val="1"/>
          <w:rtl w:val="0"/>
        </w:rPr>
        <w:t xml:space="preserve">wysokość czterdzieści osiem centymetrów; szerokość: trzydzieści pięć i pół centymetra</w:t>
      </w: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litografia barwna na papierze</w:t>
      </w: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znajduje się w zbiorach muzeum Azji i Pacyfiku</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Litografia przedstawia czteroręką boginię Lakszmi [czyt. lakszmi] siedzącą na kwiecie lotosu. Bogini towarzyszą dwa słonie. Taki typ przedstawienia nazywamy Gadźalakszmi. Słowo gadźa to w sanskrycie słoń. </w:t>
      </w:r>
    </w:p>
    <w:p w:rsidR="00000000" w:rsidDel="00000000" w:rsidP="00000000" w:rsidRDefault="00000000" w:rsidRPr="00000000" w14:paraId="0000000A">
      <w:pPr>
        <w:jc w:val="both"/>
        <w:rPr/>
      </w:pPr>
      <w:r w:rsidDel="00000000" w:rsidR="00000000" w:rsidRPr="00000000">
        <w:rPr>
          <w:rtl w:val="0"/>
        </w:rPr>
        <w:t xml:space="preserve">Grafika jest kolorowa – żywe barwy od razu przykuwają uwagę, są pogodne i bardzo intensywne.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Grafika ma orientację pionową. Większą część jej dolnej połowy wypełnia soczyście różowy kwiat lotosu. Kwiat unosi się na wodzie. Na nim, ze skrzyżowanymi nogami, siedzi młoda kobieta. Dookoła pływają podobne, jednak znacznie mniejsze kwiaty.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color w:val="1155cc"/>
        </w:rPr>
      </w:pPr>
      <w:r w:rsidDel="00000000" w:rsidR="00000000" w:rsidRPr="00000000">
        <w:rPr>
          <w:rtl w:val="0"/>
        </w:rPr>
        <w:t xml:space="preserve">Twarz Lakszmi jest spokojna i pogodna. Uwagę przykuwają jej duże, brązowe oczy i mocno zarysowane brwi. Pomiędzy brwiami widoczne jest bindi, czyli czerwona kropka malowana lub naklejana, w miejscu, gdzie znajduje się trzecie oko. Bindi nosi wiele, przede wszystkim zamężnych, kobiet z Azji Południowej i Południowo-Wschodniej.</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Bogini ubrana jest w czerwone sari wykończone złotą lamówką. Spod niego wystają rękawy zielonej bluzki. Na szyi ma zawieszonych kilka złotych, ciężkich naszyjników wysadzanych kolorowymi kamieniami. Przegub każdej z czterech dłoni oraz kostkę ozdabiają złote bransoletki. Głowę Lakszmi przykrywa wysoka, zwężająca się ku górze korona. Jest ona masywna, złota i bogato zdobiona czerwonymi i zielonymi kamieniami. Spod korony wystaje kilka pasm czarnych, kręconych włosów.</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Dwie z czterech rąk bogini uniesione są na wysokość barków. W każdej z nich Lakszmi trzyma mały, różowy kwiat lotosu. Pozostałe dwie dłonie znajdują się nieco niżej. Lakszmi zwraca je wewnętrzną stroną do widza. Prawa dłoń skierowana jest palcami do góry w geście ochrony. Sypie się z niej strumień złotych monet, które spadają na złotą tacę umieszczoną u nasady kwiatu, na którym siedzi Lakszmi. Lewa dłoń skierowana jest palcami do dołu w geście obdarowywania. Ta ręka przytrzymuje oparty o lewe biodro bogini złoty dzban. Naczynie pochylone jest w stronę widza i również z niego sypią się złote monety, spadające strumieniem na tę samą złotą tacę. Lakszmi jest boginią dobrobytu, obdarowuje ludzi darami materialnymi i zapewnia bogactwo.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Tłem dla portretu bogini jest niebieskie niebo, punktowo rozświetlone jasnożółtą plamą tworzącą nimb za głową Lakszmi.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W tle, po bokach obrazu, widać dwa białe słonie o długich, jasnych kłach. Słonie ustawione są bokiem do widza, a przodem do znajdującej się pomiędzy nimi bogini. Brodzą w wodzie, na której unosi się siedząca na kwiecie lotosu Lakszmi. Każde ze zwierząt okryte jest czerwoną ozdobną tkaniną wykończoną złota lamówką. Ich głowy ozdobione są złotymi diademami, a na szyjach zwierzęta mają po trzy złote naszyjniki. W uniesionych do góry trąbach trzymają pękate złote dzbany, z których wylewają wodę, wprost na małe kwiaty lotosu  trzymane przez Lakszmi w rękach. Nad każdym ze słoni unosi się soczyście zielona gałąź ozdobiona drobnymi różowymi i białymi kwiatkami.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pPr>
      <w:spacing w:line="276" w:lineRule="auto"/>
    </w:pPr>
  </w:style>
  <w:style w:type="paragraph" w:styleId="Nagwek1">
    <w:name w:val="heading 1"/>
    <w:basedOn w:val="Normalny"/>
    <w:qFormat w:val="1"/>
    <w:pPr>
      <w:keepNext w:val="1"/>
      <w:keepLines w:val="1"/>
      <w:spacing w:after="120" w:before="400"/>
      <w:outlineLvl w:val="0"/>
    </w:pPr>
    <w:rPr>
      <w:sz w:val="40"/>
      <w:szCs w:val="40"/>
    </w:rPr>
  </w:style>
  <w:style w:type="paragraph" w:styleId="Nagwek2">
    <w:name w:val="heading 2"/>
    <w:basedOn w:val="Normalny"/>
    <w:qFormat w:val="1"/>
    <w:pPr>
      <w:keepNext w:val="1"/>
      <w:keepLines w:val="1"/>
      <w:spacing w:after="120" w:before="360"/>
      <w:outlineLvl w:val="1"/>
    </w:pPr>
    <w:rPr>
      <w:sz w:val="32"/>
      <w:szCs w:val="32"/>
    </w:rPr>
  </w:style>
  <w:style w:type="paragraph" w:styleId="Nagwek3">
    <w:name w:val="heading 3"/>
    <w:basedOn w:val="Normalny"/>
    <w:qFormat w:val="1"/>
    <w:pPr>
      <w:keepNext w:val="1"/>
      <w:keepLines w:val="1"/>
      <w:spacing w:after="80" w:before="320"/>
      <w:outlineLvl w:val="2"/>
    </w:pPr>
    <w:rPr>
      <w:color w:val="434343"/>
      <w:sz w:val="28"/>
      <w:szCs w:val="28"/>
    </w:rPr>
  </w:style>
  <w:style w:type="paragraph" w:styleId="Nagwek4">
    <w:name w:val="heading 4"/>
    <w:basedOn w:val="Normalny"/>
    <w:qFormat w:val="1"/>
    <w:pPr>
      <w:keepNext w:val="1"/>
      <w:keepLines w:val="1"/>
      <w:spacing w:after="80" w:before="280"/>
      <w:outlineLvl w:val="3"/>
    </w:pPr>
    <w:rPr>
      <w:color w:val="666666"/>
      <w:sz w:val="24"/>
      <w:szCs w:val="24"/>
    </w:rPr>
  </w:style>
  <w:style w:type="paragraph" w:styleId="Nagwek5">
    <w:name w:val="heading 5"/>
    <w:basedOn w:val="Normalny"/>
    <w:qFormat w:val="1"/>
    <w:pPr>
      <w:keepNext w:val="1"/>
      <w:keepLines w:val="1"/>
      <w:spacing w:after="80" w:before="240"/>
      <w:outlineLvl w:val="4"/>
    </w:pPr>
    <w:rPr>
      <w:color w:val="666666"/>
    </w:rPr>
  </w:style>
  <w:style w:type="paragraph" w:styleId="Nagwek6">
    <w:name w:val="heading 6"/>
    <w:basedOn w:val="Normalny"/>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Heading" w:customStyle="1">
    <w:name w:val="Heading"/>
    <w:basedOn w:val="Normalny"/>
    <w:next w:val="Tekstpodstawowy"/>
    <w:qFormat w:val="1"/>
    <w:pPr>
      <w:keepNext w:val="1"/>
      <w:spacing w:after="120" w:before="240"/>
    </w:pPr>
    <w:rPr>
      <w:rFonts w:ascii="Liberation Sans" w:cs="Arial Unicode MS" w:eastAsia="Arial Unicode MS" w:hAnsi="Liberation Sans"/>
      <w:sz w:val="28"/>
      <w:szCs w:val="28"/>
    </w:r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val="1"/>
    <w:pPr>
      <w:suppressLineNumbers w:val="1"/>
      <w:spacing w:after="120" w:before="120"/>
    </w:pPr>
    <w:rPr>
      <w:i w:val="1"/>
      <w:iCs w:val="1"/>
      <w:sz w:val="24"/>
      <w:szCs w:val="24"/>
    </w:rPr>
  </w:style>
  <w:style w:type="paragraph" w:styleId="Index" w:customStyle="1">
    <w:name w:val="Index"/>
    <w:basedOn w:val="Normalny"/>
    <w:qFormat w:val="1"/>
    <w:pPr>
      <w:suppressLineNumbers w:val="1"/>
    </w:pPr>
  </w:style>
  <w:style w:type="paragraph" w:styleId="Tytu">
    <w:name w:val="Title"/>
    <w:basedOn w:val="Normalny"/>
    <w:qFormat w:val="1"/>
    <w:pPr>
      <w:keepNext w:val="1"/>
      <w:keepLines w:val="1"/>
      <w:spacing w:after="60"/>
    </w:pPr>
    <w:rPr>
      <w:sz w:val="52"/>
      <w:szCs w:val="52"/>
    </w:rPr>
  </w:style>
  <w:style w:type="paragraph" w:styleId="Podtytu">
    <w:name w:val="Subtitle"/>
    <w:basedOn w:val="Normalny"/>
    <w:qFormat w:val="1"/>
    <w:pPr>
      <w:keepNext w:val="1"/>
      <w:keepLines w:val="1"/>
      <w:spacing w:after="320"/>
    </w:pPr>
    <w:rPr>
      <w:color w:val="666666"/>
      <w:sz w:val="30"/>
      <w:szCs w:val="30"/>
    </w:rPr>
  </w:style>
  <w:style w:type="table" w:styleId="TableNormal" w:customStyle="1">
    <w:name w:val="Table Normal"/>
    <w:tblPr>
      <w:tblCellMar>
        <w:top w:w="0.0" w:type="dxa"/>
        <w:left w:w="0.0" w:type="dxa"/>
        <w:bottom w:w="0.0" w:type="dxa"/>
        <w:right w:w="0.0" w:type="dxa"/>
      </w:tblCellMar>
    </w:tblPr>
  </w:style>
  <w:style w:type="paragraph" w:styleId="Tekstkomentarza">
    <w:name w:val="annotation text"/>
    <w:basedOn w:val="Normalny"/>
    <w:link w:val="TekstkomentarzaZnak"/>
    <w:uiPriority w:val="99"/>
    <w:semiHidden w:val="1"/>
    <w:unhideWhenUsed w:val="1"/>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Pr>
      <w:sz w:val="20"/>
      <w:szCs w:val="20"/>
    </w:rPr>
  </w:style>
  <w:style w:type="character" w:styleId="Odwoaniedokomentarza">
    <w:name w:val="annotation reference"/>
    <w:basedOn w:val="Domylnaczcionkaakapitu"/>
    <w:uiPriority w:val="99"/>
    <w:semiHidden w:val="1"/>
    <w:unhideWhenUsed w:val="1"/>
    <w:rPr>
      <w:sz w:val="16"/>
      <w:szCs w:val="16"/>
    </w:rPr>
  </w:style>
  <w:style w:type="paragraph" w:styleId="Tekstdymka">
    <w:name w:val="Balloon Text"/>
    <w:basedOn w:val="Normalny"/>
    <w:link w:val="TekstdymkaZnak"/>
    <w:uiPriority w:val="99"/>
    <w:semiHidden w:val="1"/>
    <w:unhideWhenUsed w:val="1"/>
    <w:rsid w:val="004C39B0"/>
    <w:pPr>
      <w:spacing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4C39B0"/>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8VCmfRr91Ai076VUyRUwJY+GUw==">AMUW2mXSSO3fgaGP+ZunjY4NwWZL2GPhqmPqn3HHhea3rEi2dZMYLFaCbUAdLzI22XxXRO6BqfnjpPfVJ3Cf6PeNYZORH6MHAL30Ur4ftHAvmrIx6phoUf9SoeepSsdUS6bUKId6SBHy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2021-08-10T09:07:00Z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