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color w:val="1d1c1d"/>
          <w:sz w:val="23"/>
          <w:szCs w:val="23"/>
          <w:rtl w:val="0"/>
        </w:rPr>
        <w:t xml:space="preserve">Tabakierka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color w:val="1d1c1d"/>
          <w:sz w:val="23"/>
          <w:szCs w:val="23"/>
          <w:rtl w:val="0"/>
        </w:rPr>
        <w:t xml:space="preserve">twórca z Chin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color w:val="1d1c1d"/>
          <w:sz w:val="23"/>
          <w:szCs w:val="23"/>
          <w:rtl w:val="0"/>
        </w:rPr>
        <w:t xml:space="preserve">druga połowa dziewiętnastego wieku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1d1c1d"/>
          <w:sz w:val="23"/>
          <w:szCs w:val="23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1d1c1d"/>
          <w:sz w:val="23"/>
          <w:szCs w:val="23"/>
          <w:rtl w:val="0"/>
        </w:rPr>
        <w:t xml:space="preserve">wysokość sześć i siedem dziesiątych centymetra; szerokość trzy i dziewięć dziesiątych centymetra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color w:val="1d1c1d"/>
          <w:sz w:val="23"/>
          <w:szCs w:val="23"/>
          <w:rtl w:val="0"/>
        </w:rPr>
        <w:t xml:space="preserve">chalcedon, mosiądz, koral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1d1c1d"/>
          <w:sz w:val="23"/>
          <w:szCs w:val="23"/>
        </w:rPr>
      </w:pPr>
      <w:r w:rsidDel="00000000" w:rsidR="00000000" w:rsidRPr="00000000">
        <w:rPr>
          <w:b w:val="1"/>
          <w:color w:val="1d1c1d"/>
          <w:sz w:val="23"/>
          <w:szCs w:val="23"/>
          <w:rtl w:val="0"/>
        </w:rPr>
        <w:t xml:space="preserve">znajduje się w zbiorach Muzeum Azji i Pacyfiku</w:t>
      </w:r>
    </w:p>
    <w:p w:rsidR="00000000" w:rsidDel="00000000" w:rsidP="00000000" w:rsidRDefault="00000000" w:rsidRPr="00000000" w14:paraId="00000007">
      <w:pPr>
        <w:rPr>
          <w:b w:val="1"/>
          <w:color w:val="1d1c1d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1d1c1d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color w:val="1d1c1d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color w:val="1d1c1d"/>
          <w:sz w:val="23"/>
          <w:szCs w:val="23"/>
        </w:rPr>
      </w:pPr>
      <w:r w:rsidDel="00000000" w:rsidR="00000000" w:rsidRPr="00000000">
        <w:rPr>
          <w:color w:val="1d1c1d"/>
          <w:sz w:val="23"/>
          <w:szCs w:val="23"/>
          <w:rtl w:val="0"/>
        </w:rPr>
        <w:t xml:space="preserve">Niewielka, prosta tabakiera ma formę pękatej buteleczki zamkniętej korkiem. Wykonana została z polerowanego chalcedonu w kolorze beżowym. Chalcedon jest naturalnym minerałem i często bywa nierównomiernie wybarwiony. Również na powierzchni tabakierki widnieją ciemniejsze i jaśniejsze plamy oraz drobne brązowe żyłki i plamki.  </w:t>
      </w:r>
    </w:p>
    <w:p w:rsidR="00000000" w:rsidDel="00000000" w:rsidP="00000000" w:rsidRDefault="00000000" w:rsidRPr="00000000" w14:paraId="0000000B">
      <w:pPr>
        <w:jc w:val="both"/>
        <w:rPr>
          <w:color w:val="1d1c1d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color w:val="1d1c1d"/>
          <w:sz w:val="23"/>
          <w:szCs w:val="23"/>
        </w:rPr>
      </w:pPr>
      <w:r w:rsidDel="00000000" w:rsidR="00000000" w:rsidRPr="00000000">
        <w:rPr>
          <w:color w:val="1d1c1d"/>
          <w:sz w:val="23"/>
          <w:szCs w:val="23"/>
          <w:rtl w:val="0"/>
        </w:rPr>
        <w:t xml:space="preserve">Tabakiera widziana z przodu jest okrągła, kiedy patrzymy z boku – widać, że jest wyraźnie spłaszczona. Płaskie jest również dno buteleczki. Tabakiera ma krótką, szeroką szyjkę. Szyjka zamknięta jest korkiem składającym się z dwóch części. Bliżej szyjki znajduje się mosiężny dość szeroki pierścień, a na nim zamocowana jest półkula wykonana z pomarańczowego korala. Korek ma tę samą szerokość co szyjka tabakiery, więc całość tworzy prostą, minimalistyczną formę. Tabakierka nie ma żadnych dodatkowych zdobień. </w:t>
      </w:r>
    </w:p>
    <w:p w:rsidR="00000000" w:rsidDel="00000000" w:rsidP="00000000" w:rsidRDefault="00000000" w:rsidRPr="00000000" w14:paraId="0000000D">
      <w:pPr>
        <w:jc w:val="both"/>
        <w:rPr>
          <w:color w:val="1d1c1d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color w:val="1d1c1d"/>
          <w:sz w:val="23"/>
          <w:szCs w:val="23"/>
        </w:rPr>
      </w:pPr>
      <w:r w:rsidDel="00000000" w:rsidR="00000000" w:rsidRPr="00000000">
        <w:rPr>
          <w:color w:val="1d1c1d"/>
          <w:sz w:val="23"/>
          <w:szCs w:val="23"/>
          <w:rtl w:val="0"/>
        </w:rPr>
        <w:t xml:space="preserve">Wewnątrz do korka przymocowana jest mała, drewniana łyżeczka, zupełnie niewidoczna, kiedy tabakierka jest zamknięta. Pozwala ona nabrać porcję tabaki odpowiedniej wielkości.  </w:t>
      </w:r>
    </w:p>
    <w:p w:rsidR="00000000" w:rsidDel="00000000" w:rsidP="00000000" w:rsidRDefault="00000000" w:rsidRPr="00000000" w14:paraId="0000000F">
      <w:pPr>
        <w:jc w:val="both"/>
        <w:rPr>
          <w:color w:val="1d1c1d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  <w:pPr>
      <w:spacing w:line="276" w:lineRule="auto"/>
    </w:pPr>
  </w:style>
  <w:style w:type="paragraph" w:styleId="Nagwek1">
    <w:name w:val="heading 1"/>
    <w:basedOn w:val="Normalny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Odwoaniedokomentarza">
    <w:name w:val="annotation reference"/>
    <w:basedOn w:val="Domylnaczcionkaakapitu"/>
    <w:uiPriority w:val="99"/>
    <w:semiHidden w:val="1"/>
    <w:unhideWhenUsed w:val="1"/>
    <w:qFormat w:val="1"/>
    <w:rsid w:val="00834FC8"/>
    <w:rPr>
      <w:sz w:val="16"/>
      <w:szCs w:val="16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qFormat w:val="1"/>
    <w:rsid w:val="00834FC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qFormat w:val="1"/>
    <w:rsid w:val="00834FC8"/>
    <w:rPr>
      <w:b w:val="1"/>
      <w:bCs w:val="1"/>
      <w:sz w:val="20"/>
      <w:szCs w:val="20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qFormat w:val="1"/>
    <w:rsid w:val="00834FC8"/>
    <w:rPr>
      <w:rFonts w:ascii="Segoe UI" w:cs="Segoe UI" w:hAnsi="Segoe UI"/>
      <w:sz w:val="18"/>
      <w:szCs w:val="18"/>
    </w:rPr>
  </w:style>
  <w:style w:type="paragraph" w:styleId="Heading" w:customStyle="1">
    <w:name w:val="Heading"/>
    <w:basedOn w:val="Normalny"/>
    <w:next w:val="Tekstpodstawowy"/>
    <w:qFormat w:val="1"/>
    <w:pPr>
      <w:keepNext w:val="1"/>
      <w:spacing w:after="120" w:before="240"/>
    </w:pPr>
    <w:rPr>
      <w:rFonts w:ascii="Liberation Sans" w:cs="Arial Unicode MS" w:eastAsia="Arial Unicode MS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 w:customStyle="1">
    <w:name w:val="Index"/>
    <w:basedOn w:val="Normalny"/>
    <w:qFormat w:val="1"/>
    <w:pPr>
      <w:suppressLineNumbers w:val="1"/>
    </w:pPr>
  </w:style>
  <w:style w:type="paragraph" w:styleId="Tytu">
    <w:name w:val="Title"/>
    <w:basedOn w:val="Normalny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qFormat w:val="1"/>
    <w:rsid w:val="00834FC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 w:val="1"/>
    <w:unhideWhenUsed w:val="1"/>
    <w:qFormat w:val="1"/>
    <w:rsid w:val="00834FC8"/>
    <w:rPr>
      <w:b w:val="1"/>
      <w:bCs w:val="1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qFormat w:val="1"/>
    <w:rsid w:val="00834FC8"/>
    <w:pPr>
      <w:spacing w:line="240" w:lineRule="auto"/>
    </w:pPr>
    <w:rPr>
      <w:rFonts w:ascii="Segoe UI" w:cs="Segoe UI" w:hAnsi="Segoe UI"/>
      <w:sz w:val="18"/>
      <w:szCs w:val="18"/>
    </w:r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9iQh1apP8i2Mt1yEupz7dZGuRg==">AMUW2mW5F9MNB/5/j/sLc/3muXQ6pCL3ZNs+eCtf+X/WD8m0i+tPw3vxwGdRs0pqpKC009Hf68t/1SijHwFtsVM16zjPMfkIwctBLEH5E+v2x6SFaqqBJ9DsGFSMUv4OzG2r/MOXOTqo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2021-08-12T16:31:00Z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